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8B97A" w14:textId="77777777" w:rsidR="006130CD" w:rsidRDefault="006130CD" w:rsidP="006130CD">
      <w:pPr>
        <w:spacing w:after="0" w:line="240" w:lineRule="auto"/>
        <w:rPr>
          <w:rFonts w:ascii="Trebuchet MS" w:hAnsi="Trebuchet MS"/>
        </w:rPr>
      </w:pPr>
      <w:r>
        <w:rPr>
          <w:rFonts w:ascii="Trebuchet MS" w:hAnsi="Trebuchet MS"/>
        </w:rPr>
        <w:t>Further justification of my response:</w:t>
      </w:r>
    </w:p>
    <w:p w14:paraId="61DA61ED" w14:textId="77777777" w:rsidR="006130CD" w:rsidRDefault="006130CD" w:rsidP="006130CD">
      <w:pPr>
        <w:spacing w:after="0" w:line="240" w:lineRule="auto"/>
        <w:rPr>
          <w:rFonts w:ascii="Trebuchet MS" w:hAnsi="Trebuchet MS"/>
        </w:rPr>
      </w:pPr>
    </w:p>
    <w:p w14:paraId="5C288109" w14:textId="0F6A5F7A" w:rsidR="006130CD" w:rsidRDefault="006130CD" w:rsidP="006130CD">
      <w:pPr>
        <w:spacing w:after="0" w:line="240" w:lineRule="auto"/>
        <w:rPr>
          <w:rFonts w:ascii="Trebuchet MS" w:hAnsi="Trebuchet MS"/>
        </w:rPr>
      </w:pPr>
      <w:r>
        <w:rPr>
          <w:rFonts w:ascii="Trebuchet MS" w:hAnsi="Trebuchet MS"/>
        </w:rPr>
        <w:t xml:space="preserve">The Claypole Parish Council held a </w:t>
      </w:r>
      <w:r>
        <w:rPr>
          <w:rFonts w:ascii="Trebuchet MS" w:hAnsi="Trebuchet MS"/>
        </w:rPr>
        <w:t>public engagement event</w:t>
      </w:r>
      <w:r>
        <w:rPr>
          <w:rFonts w:ascii="Trebuchet MS" w:hAnsi="Trebuchet MS"/>
        </w:rPr>
        <w:t xml:space="preserve"> which</w:t>
      </w:r>
      <w:r>
        <w:rPr>
          <w:rFonts w:ascii="Trebuchet MS" w:hAnsi="Trebuchet MS"/>
        </w:rPr>
        <w:t xml:space="preserve"> </w:t>
      </w:r>
      <w:r>
        <w:rPr>
          <w:rFonts w:ascii="Trebuchet MS" w:hAnsi="Trebuchet MS"/>
        </w:rPr>
        <w:t xml:space="preserve">98 local residents attended and </w:t>
      </w:r>
      <w:r>
        <w:rPr>
          <w:rFonts w:ascii="Trebuchet MS" w:hAnsi="Trebuchet MS"/>
        </w:rPr>
        <w:t>raised the following list of questions and issues raised in relation to the proposed housing allocation SKPR-322:</w:t>
      </w:r>
    </w:p>
    <w:p w14:paraId="18EB2D69" w14:textId="77777777" w:rsidR="006130CD" w:rsidRDefault="006130CD" w:rsidP="006130CD">
      <w:pPr>
        <w:spacing w:after="0" w:line="240" w:lineRule="auto"/>
        <w:rPr>
          <w:rFonts w:ascii="Trebuchet MS" w:hAnsi="Trebuchet MS"/>
        </w:rPr>
      </w:pPr>
    </w:p>
    <w:p w14:paraId="1139C148"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Are the criteria used to determine whether a village is considered a small village or a large village clear and appropriate?</w:t>
      </w:r>
    </w:p>
    <w:p w14:paraId="6FB89A1B"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Will the plan for the proposed allocation ensure that there will be sufficient spaces at the local junior school for students who want them?</w:t>
      </w:r>
    </w:p>
    <w:p w14:paraId="17FCEB6E"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With the proposed allocation there are likely to be more cars going through the village causing more congestion on Main St. How will this be resolved as part of the SKDC plan?</w:t>
      </w:r>
    </w:p>
    <w:p w14:paraId="5CE0AAE8"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How will the plan for the proposed allocation consider the impact of more traffic through the surrounding roads to Claypole?</w:t>
      </w:r>
    </w:p>
    <w:p w14:paraId="32097F37"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How does this planned allocation, take into account other developments in the surrounding area. For example, the development of Fernwood and houses adjacent to Shire Lane generating more traffic congestion?</w:t>
      </w:r>
    </w:p>
    <w:p w14:paraId="31624144"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How will SKDC ensure that there is adequate drainage capacity not only for the development site, but also for existing roads which are likely to become the recipient of flood water from the proposed allocation site?</w:t>
      </w:r>
    </w:p>
    <w:p w14:paraId="216E90D7"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How will SKDC ensure that there will be appropriate levels of infrastructure to support the development and growth of Claypole Village? (This will link to item 1 above and the criteria for being a larger village).</w:t>
      </w:r>
    </w:p>
    <w:p w14:paraId="29B7585B" w14:textId="77777777" w:rsidR="006130CD" w:rsidRDefault="006130CD" w:rsidP="006130CD">
      <w:pPr>
        <w:pStyle w:val="ListParagraph"/>
        <w:numPr>
          <w:ilvl w:val="0"/>
          <w:numId w:val="24"/>
        </w:numPr>
        <w:spacing w:after="0" w:line="240" w:lineRule="auto"/>
        <w:rPr>
          <w:rFonts w:ascii="Trebuchet MS" w:hAnsi="Trebuchet MS"/>
        </w:rPr>
      </w:pPr>
      <w:r>
        <w:rPr>
          <w:rFonts w:ascii="Trebuchet MS" w:hAnsi="Trebuchet MS"/>
        </w:rPr>
        <w:t xml:space="preserve">How will SKDC ensure that the mixture of property on an allocated site is appropriate to the local needs of the community, as per the National Planning Policy Framework?  </w:t>
      </w:r>
    </w:p>
    <w:p w14:paraId="79C56323" w14:textId="77777777" w:rsidR="006130CD" w:rsidRDefault="006130CD" w:rsidP="006130CD">
      <w:pPr>
        <w:spacing w:after="0" w:line="240" w:lineRule="auto"/>
        <w:rPr>
          <w:rFonts w:ascii="Trebuchet MS" w:hAnsi="Trebuchet MS"/>
        </w:rPr>
      </w:pPr>
    </w:p>
    <w:p w14:paraId="24792BE1" w14:textId="77777777" w:rsidR="006130CD" w:rsidRDefault="006130CD" w:rsidP="006130CD">
      <w:pPr>
        <w:spacing w:after="0" w:line="240" w:lineRule="auto"/>
        <w:rPr>
          <w:rFonts w:ascii="Trebuchet MS" w:hAnsi="Trebuchet MS"/>
        </w:rPr>
      </w:pPr>
      <w:r>
        <w:rPr>
          <w:rFonts w:ascii="Trebuchet MS" w:hAnsi="Trebuchet MS"/>
        </w:rPr>
        <w:t>There were a number of other potential concerns raised, but the above summary encapsulates the main areas of concern.</w:t>
      </w:r>
    </w:p>
    <w:p w14:paraId="57951B72" w14:textId="77777777" w:rsidR="006130CD" w:rsidRDefault="006130CD" w:rsidP="006130CD">
      <w:pPr>
        <w:spacing w:after="0" w:line="240" w:lineRule="auto"/>
        <w:rPr>
          <w:rFonts w:ascii="Trebuchet MS" w:hAnsi="Trebuchet MS"/>
        </w:rPr>
      </w:pPr>
    </w:p>
    <w:p w14:paraId="139DDB0B" w14:textId="6178484A" w:rsidR="006130CD" w:rsidRDefault="006130CD" w:rsidP="006130CD">
      <w:pPr>
        <w:spacing w:after="0" w:line="240" w:lineRule="auto"/>
        <w:rPr>
          <w:rFonts w:ascii="Trebuchet MS" w:hAnsi="Trebuchet MS"/>
        </w:rPr>
      </w:pPr>
      <w:r>
        <w:rPr>
          <w:rFonts w:ascii="Trebuchet MS" w:hAnsi="Trebuchet MS"/>
        </w:rPr>
        <w:t>In addition, I would like to highlight further points to reinforce our objection</w:t>
      </w:r>
    </w:p>
    <w:p w14:paraId="01007900" w14:textId="77777777" w:rsidR="006D5C22" w:rsidRDefault="006D5C22" w:rsidP="006130CD">
      <w:pPr>
        <w:spacing w:after="0" w:line="240" w:lineRule="auto"/>
        <w:rPr>
          <w:rFonts w:ascii="Trebuchet MS" w:hAnsi="Trebuchet MS"/>
        </w:rPr>
      </w:pPr>
    </w:p>
    <w:p w14:paraId="3ABA453A" w14:textId="160C6FD6" w:rsidR="006D5C22" w:rsidRDefault="007356CF" w:rsidP="006130CD">
      <w:pPr>
        <w:spacing w:after="0" w:line="240" w:lineRule="auto"/>
        <w:rPr>
          <w:rFonts w:ascii="Trebuchet MS" w:hAnsi="Trebuchet MS"/>
        </w:rPr>
      </w:pPr>
      <w:r>
        <w:rPr>
          <w:rFonts w:ascii="Trebuchet MS" w:hAnsi="Trebuchet MS"/>
        </w:rPr>
        <w:t>The rationale for the allocation of housing has not been made clear for larger villages, covering questions like why this particular location, and why development, why the disproportionate share</w:t>
      </w:r>
      <w:r w:rsidR="00C11A52">
        <w:rPr>
          <w:rFonts w:ascii="Trebuchet MS" w:hAnsi="Trebuchet MS"/>
        </w:rPr>
        <w:t xml:space="preserve"> allocated to villages rather than towns?</w:t>
      </w:r>
    </w:p>
    <w:p w14:paraId="2A2C3FEE" w14:textId="70EF4779" w:rsidR="007356CF" w:rsidRDefault="007356CF" w:rsidP="006130CD">
      <w:pPr>
        <w:spacing w:after="0" w:line="240" w:lineRule="auto"/>
        <w:rPr>
          <w:rFonts w:ascii="Trebuchet MS" w:hAnsi="Trebuchet MS"/>
        </w:rPr>
      </w:pPr>
    </w:p>
    <w:p w14:paraId="5F39C0EA" w14:textId="794C6102" w:rsidR="007356CF" w:rsidRDefault="007356CF" w:rsidP="006130CD">
      <w:pPr>
        <w:spacing w:after="0" w:line="240" w:lineRule="auto"/>
        <w:rPr>
          <w:rFonts w:ascii="Trebuchet MS" w:hAnsi="Trebuchet MS"/>
        </w:rPr>
      </w:pPr>
      <w:r>
        <w:rPr>
          <w:rFonts w:ascii="Trebuchet MS" w:hAnsi="Trebuchet MS"/>
        </w:rPr>
        <w:t>Within the NPPF all plans should promote a sustained pattern of development which meets the development needs of all the stakeholders in an integrated approach including housing, employment, community facilities and services, yet there is strong opposition at a local level to large scale development which is not in character with the village.</w:t>
      </w:r>
    </w:p>
    <w:p w14:paraId="3D0B36CD" w14:textId="6E7DCBD1" w:rsidR="00957461" w:rsidRDefault="007356CF" w:rsidP="006130CD">
      <w:pPr>
        <w:spacing w:after="0" w:line="240" w:lineRule="auto"/>
        <w:rPr>
          <w:rFonts w:ascii="Trebuchet MS" w:hAnsi="Trebuchet MS"/>
        </w:rPr>
      </w:pPr>
      <w:r>
        <w:rPr>
          <w:rFonts w:ascii="Trebuchet MS" w:hAnsi="Trebuchet MS"/>
        </w:rPr>
        <w:t>Our neighbourhood plan outlined this intention very clearly</w:t>
      </w:r>
      <w:r w:rsidR="00957461">
        <w:rPr>
          <w:rFonts w:ascii="Trebuchet MS" w:hAnsi="Trebuchet MS"/>
        </w:rPr>
        <w:t xml:space="preserve"> which was ‘made’ with an overwhelming majority</w:t>
      </w:r>
      <w:r w:rsidR="00C11A52">
        <w:rPr>
          <w:rFonts w:ascii="Trebuchet MS" w:hAnsi="Trebuchet MS"/>
        </w:rPr>
        <w:t>.</w:t>
      </w:r>
    </w:p>
    <w:p w14:paraId="6E923243" w14:textId="77777777" w:rsidR="00957461" w:rsidRDefault="00957461" w:rsidP="006130CD">
      <w:pPr>
        <w:spacing w:after="0" w:line="240" w:lineRule="auto"/>
        <w:rPr>
          <w:rFonts w:ascii="Trebuchet MS" w:hAnsi="Trebuchet MS"/>
        </w:rPr>
      </w:pPr>
    </w:p>
    <w:p w14:paraId="692FB234" w14:textId="6CEECA0F" w:rsidR="007356CF" w:rsidRDefault="00957461" w:rsidP="006130CD">
      <w:pPr>
        <w:spacing w:after="0" w:line="240" w:lineRule="auto"/>
        <w:rPr>
          <w:rFonts w:ascii="Trebuchet MS" w:hAnsi="Trebuchet MS"/>
        </w:rPr>
      </w:pPr>
      <w:r>
        <w:rPr>
          <w:rFonts w:ascii="Trebuchet MS" w:hAnsi="Trebuchet MS"/>
        </w:rPr>
        <w:t>There are historic environmental records of Ridge and Furrow earthworks, but non-designated heritage assets are not shown to have been included in the assessment</w:t>
      </w:r>
      <w:r w:rsidR="006C1612">
        <w:rPr>
          <w:rFonts w:ascii="Trebuchet MS" w:hAnsi="Trebuchet MS"/>
        </w:rPr>
        <w:t>.</w:t>
      </w:r>
    </w:p>
    <w:p w14:paraId="39527051" w14:textId="77777777" w:rsidR="006C1612" w:rsidRDefault="006C1612" w:rsidP="006130CD">
      <w:pPr>
        <w:spacing w:after="0" w:line="240" w:lineRule="auto"/>
        <w:rPr>
          <w:rFonts w:ascii="Trebuchet MS" w:hAnsi="Trebuchet MS"/>
        </w:rPr>
      </w:pPr>
    </w:p>
    <w:p w14:paraId="14571B95" w14:textId="762B197D" w:rsidR="006C1612" w:rsidRDefault="006C1612" w:rsidP="006130CD">
      <w:pPr>
        <w:spacing w:after="0" w:line="240" w:lineRule="auto"/>
        <w:rPr>
          <w:rFonts w:ascii="Trebuchet MS" w:hAnsi="Trebuchet MS"/>
        </w:rPr>
      </w:pPr>
      <w:r>
        <w:rPr>
          <w:rFonts w:ascii="Trebuchet MS" w:hAnsi="Trebuchet MS"/>
        </w:rPr>
        <w:t>There is a clear risk of flooding with this land and the consequently the surrounding land yet a strategic flood risk assessment has not been carried out – a sequential test is needed</w:t>
      </w:r>
      <w:r w:rsidR="00C11A52">
        <w:rPr>
          <w:rFonts w:ascii="Trebuchet MS" w:hAnsi="Trebuchet MS"/>
        </w:rPr>
        <w:t>.</w:t>
      </w:r>
    </w:p>
    <w:p w14:paraId="1E423366" w14:textId="77777777" w:rsidR="006C1612" w:rsidRDefault="006C1612" w:rsidP="006130CD">
      <w:pPr>
        <w:spacing w:after="0" w:line="240" w:lineRule="auto"/>
        <w:rPr>
          <w:rFonts w:ascii="Trebuchet MS" w:hAnsi="Trebuchet MS"/>
        </w:rPr>
      </w:pPr>
    </w:p>
    <w:p w14:paraId="4AD34463" w14:textId="4D11AD94" w:rsidR="006C1612" w:rsidRDefault="006C1612" w:rsidP="006130CD">
      <w:pPr>
        <w:spacing w:after="0" w:line="240" w:lineRule="auto"/>
        <w:rPr>
          <w:rFonts w:ascii="Trebuchet MS" w:hAnsi="Trebuchet MS"/>
        </w:rPr>
      </w:pPr>
      <w:r>
        <w:rPr>
          <w:rFonts w:ascii="Trebuchet MS" w:hAnsi="Trebuchet MS"/>
        </w:rPr>
        <w:lastRenderedPageBreak/>
        <w:t>The settlement hierarchy test scoring is incorrect and inconsistent</w:t>
      </w:r>
      <w:r w:rsidR="0012252B">
        <w:rPr>
          <w:rFonts w:ascii="Trebuchet MS" w:hAnsi="Trebuchet MS"/>
        </w:rPr>
        <w:t>, it is not the same as the one used for the current local plan, so it’s not the same as the one found to be ‘sound’ by the local planning inspector</w:t>
      </w:r>
      <w:r>
        <w:rPr>
          <w:rFonts w:ascii="Trebuchet MS" w:hAnsi="Trebuchet MS"/>
        </w:rPr>
        <w:t>. The planning consultant engaged by the village highlighted these inconsistencies within his report</w:t>
      </w:r>
      <w:r w:rsidR="0012252B">
        <w:rPr>
          <w:rFonts w:ascii="Trebuchet MS" w:hAnsi="Trebuchet MS"/>
        </w:rPr>
        <w:t xml:space="preserve"> earlier this year in the spring submission. This would make your SP2 settlement hierarchy approach unsound – as it is not positively prepared, justified and effective.</w:t>
      </w:r>
    </w:p>
    <w:p w14:paraId="59062EA9" w14:textId="77777777" w:rsidR="0012252B" w:rsidRDefault="0012252B" w:rsidP="006130CD">
      <w:pPr>
        <w:spacing w:after="0" w:line="240" w:lineRule="auto"/>
        <w:rPr>
          <w:rFonts w:ascii="Trebuchet MS" w:hAnsi="Trebuchet MS"/>
        </w:rPr>
      </w:pPr>
    </w:p>
    <w:p w14:paraId="6EF012BC" w14:textId="35924592" w:rsidR="0012252B" w:rsidRDefault="0012252B" w:rsidP="006130CD">
      <w:pPr>
        <w:spacing w:after="0" w:line="240" w:lineRule="auto"/>
        <w:rPr>
          <w:rFonts w:ascii="Trebuchet MS" w:hAnsi="Trebuchet MS"/>
        </w:rPr>
      </w:pPr>
      <w:r>
        <w:rPr>
          <w:rFonts w:ascii="Trebuchet MS" w:hAnsi="Trebuchet MS"/>
        </w:rPr>
        <w:t>An employment land study has not been done, so your local plan review doesn’t set out your strategy to balance housing and employment needs.</w:t>
      </w:r>
    </w:p>
    <w:p w14:paraId="26314869" w14:textId="77777777" w:rsidR="0012252B" w:rsidRDefault="0012252B" w:rsidP="006130CD">
      <w:pPr>
        <w:spacing w:after="0" w:line="240" w:lineRule="auto"/>
        <w:rPr>
          <w:rFonts w:ascii="Trebuchet MS" w:hAnsi="Trebuchet MS"/>
        </w:rPr>
      </w:pPr>
    </w:p>
    <w:p w14:paraId="497AFEFF" w14:textId="3E10FC47" w:rsidR="0012252B" w:rsidRDefault="0012252B" w:rsidP="006130CD">
      <w:pPr>
        <w:spacing w:after="0" w:line="240" w:lineRule="auto"/>
        <w:rPr>
          <w:rFonts w:ascii="Trebuchet MS" w:hAnsi="Trebuchet MS"/>
        </w:rPr>
      </w:pPr>
      <w:r>
        <w:rPr>
          <w:rFonts w:ascii="Trebuchet MS" w:hAnsi="Trebuchet MS"/>
        </w:rPr>
        <w:t>The sustainability appraisal objectives aren’t being met</w:t>
      </w:r>
      <w:r w:rsidR="00985446">
        <w:rPr>
          <w:rFonts w:ascii="Trebuchet MS" w:hAnsi="Trebuchet MS"/>
        </w:rPr>
        <w:t xml:space="preserve"> with this allocation, the location will encourage less sustainable means of transport and </w:t>
      </w:r>
      <w:r w:rsidR="00683589">
        <w:rPr>
          <w:rFonts w:ascii="Trebuchet MS" w:hAnsi="Trebuchet MS"/>
        </w:rPr>
        <w:t>accessibility</w:t>
      </w:r>
      <w:r w:rsidR="004F3091">
        <w:rPr>
          <w:rFonts w:ascii="Trebuchet MS" w:hAnsi="Trebuchet MS"/>
        </w:rPr>
        <w:t>. This will cause more congestion on Main Street at the known pinch points.</w:t>
      </w:r>
    </w:p>
    <w:p w14:paraId="547D4295" w14:textId="77777777" w:rsidR="004F3091" w:rsidRDefault="004F3091" w:rsidP="006130CD">
      <w:pPr>
        <w:spacing w:after="0" w:line="240" w:lineRule="auto"/>
        <w:rPr>
          <w:rFonts w:ascii="Trebuchet MS" w:hAnsi="Trebuchet MS"/>
        </w:rPr>
      </w:pPr>
    </w:p>
    <w:p w14:paraId="3ED6B9F6" w14:textId="4156B5F0" w:rsidR="004F3091" w:rsidRDefault="004F3091" w:rsidP="006130CD">
      <w:pPr>
        <w:spacing w:after="0" w:line="240" w:lineRule="auto"/>
        <w:rPr>
          <w:rFonts w:ascii="Trebuchet MS" w:hAnsi="Trebuchet MS"/>
        </w:rPr>
      </w:pPr>
      <w:r>
        <w:rPr>
          <w:rFonts w:ascii="Trebuchet MS" w:hAnsi="Trebuchet MS"/>
        </w:rPr>
        <w:t xml:space="preserve">NPPF page 95 outlines the need for developments to promote social interaction with different people. The </w:t>
      </w:r>
      <w:r w:rsidR="00C11A52">
        <w:rPr>
          <w:rFonts w:ascii="Trebuchet MS" w:hAnsi="Trebuchet MS"/>
        </w:rPr>
        <w:t xml:space="preserve">proposed allocation </w:t>
      </w:r>
      <w:r>
        <w:rPr>
          <w:rFonts w:ascii="Trebuchet MS" w:hAnsi="Trebuchet MS"/>
        </w:rPr>
        <w:t>is visually not part of the village, it is isolated from the rest of the village</w:t>
      </w:r>
      <w:r w:rsidR="00C11A52">
        <w:rPr>
          <w:rFonts w:ascii="Trebuchet MS" w:hAnsi="Trebuchet MS"/>
        </w:rPr>
        <w:t>.</w:t>
      </w:r>
    </w:p>
    <w:p w14:paraId="53918367" w14:textId="77777777" w:rsidR="004F3091" w:rsidRDefault="004F3091" w:rsidP="006130CD">
      <w:pPr>
        <w:spacing w:after="0" w:line="240" w:lineRule="auto"/>
        <w:rPr>
          <w:rFonts w:ascii="Trebuchet MS" w:hAnsi="Trebuchet MS"/>
        </w:rPr>
      </w:pPr>
    </w:p>
    <w:p w14:paraId="73406692" w14:textId="5E051DEC" w:rsidR="004F3091" w:rsidRDefault="004F3091" w:rsidP="006130CD">
      <w:pPr>
        <w:spacing w:after="0" w:line="240" w:lineRule="auto"/>
        <w:rPr>
          <w:rFonts w:ascii="Trebuchet MS" w:hAnsi="Trebuchet MS"/>
        </w:rPr>
      </w:pPr>
      <w:r>
        <w:rPr>
          <w:rFonts w:ascii="Trebuchet MS" w:hAnsi="Trebuchet MS"/>
        </w:rPr>
        <w:t xml:space="preserve">There is no GP or medical practice in </w:t>
      </w:r>
      <w:r w:rsidR="00C11A52">
        <w:rPr>
          <w:rFonts w:ascii="Trebuchet MS" w:hAnsi="Trebuchet MS"/>
        </w:rPr>
        <w:t>Claypole</w:t>
      </w:r>
      <w:r>
        <w:rPr>
          <w:rFonts w:ascii="Trebuchet MS" w:hAnsi="Trebuchet MS"/>
        </w:rPr>
        <w:t xml:space="preserve">, the </w:t>
      </w:r>
      <w:r w:rsidR="00C11A52">
        <w:rPr>
          <w:rFonts w:ascii="Trebuchet MS" w:hAnsi="Trebuchet MS"/>
        </w:rPr>
        <w:t>nearest</w:t>
      </w:r>
      <w:r>
        <w:rPr>
          <w:rFonts w:ascii="Trebuchet MS" w:hAnsi="Trebuchet MS"/>
        </w:rPr>
        <w:t xml:space="preserve"> is Long Bennington or Balderton, both of which entail long walking distances i</w:t>
      </w:r>
      <w:r w:rsidR="00C11A52">
        <w:rPr>
          <w:rFonts w:ascii="Trebuchet MS" w:hAnsi="Trebuchet MS"/>
        </w:rPr>
        <w:t>f</w:t>
      </w:r>
      <w:r>
        <w:rPr>
          <w:rFonts w:ascii="Trebuchet MS" w:hAnsi="Trebuchet MS"/>
        </w:rPr>
        <w:t xml:space="preserve"> public transport is used. This will also encourage unsustainable transportation or significant difficulty.</w:t>
      </w:r>
    </w:p>
    <w:p w14:paraId="5A60C64F"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3386F1F"/>
    <w:multiLevelType w:val="hybridMultilevel"/>
    <w:tmpl w:val="791A67F4"/>
    <w:lvl w:ilvl="0" w:tplc="67465858">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93375374">
    <w:abstractNumId w:val="20"/>
  </w:num>
  <w:num w:numId="2" w16cid:durableId="434714317">
    <w:abstractNumId w:val="12"/>
  </w:num>
  <w:num w:numId="3" w16cid:durableId="486629787">
    <w:abstractNumId w:val="10"/>
  </w:num>
  <w:num w:numId="4" w16cid:durableId="2054619420">
    <w:abstractNumId w:val="22"/>
  </w:num>
  <w:num w:numId="5" w16cid:durableId="560286541">
    <w:abstractNumId w:val="14"/>
  </w:num>
  <w:num w:numId="6" w16cid:durableId="1764911355">
    <w:abstractNumId w:val="17"/>
  </w:num>
  <w:num w:numId="7" w16cid:durableId="1970091368">
    <w:abstractNumId w:val="19"/>
  </w:num>
  <w:num w:numId="8" w16cid:durableId="1174951667">
    <w:abstractNumId w:val="9"/>
  </w:num>
  <w:num w:numId="9" w16cid:durableId="1320422339">
    <w:abstractNumId w:val="7"/>
  </w:num>
  <w:num w:numId="10" w16cid:durableId="438260673">
    <w:abstractNumId w:val="6"/>
  </w:num>
  <w:num w:numId="11" w16cid:durableId="2064677518">
    <w:abstractNumId w:val="5"/>
  </w:num>
  <w:num w:numId="12" w16cid:durableId="37096893">
    <w:abstractNumId w:val="4"/>
  </w:num>
  <w:num w:numId="13" w16cid:durableId="980504329">
    <w:abstractNumId w:val="8"/>
  </w:num>
  <w:num w:numId="14" w16cid:durableId="1709986101">
    <w:abstractNumId w:val="3"/>
  </w:num>
  <w:num w:numId="15" w16cid:durableId="1823539377">
    <w:abstractNumId w:val="2"/>
  </w:num>
  <w:num w:numId="16" w16cid:durableId="58284095">
    <w:abstractNumId w:val="1"/>
  </w:num>
  <w:num w:numId="17" w16cid:durableId="1746605570">
    <w:abstractNumId w:val="0"/>
  </w:num>
  <w:num w:numId="18" w16cid:durableId="710957701">
    <w:abstractNumId w:val="15"/>
  </w:num>
  <w:num w:numId="19" w16cid:durableId="324748383">
    <w:abstractNumId w:val="16"/>
  </w:num>
  <w:num w:numId="20" w16cid:durableId="1225489466">
    <w:abstractNumId w:val="21"/>
  </w:num>
  <w:num w:numId="21" w16cid:durableId="98913481">
    <w:abstractNumId w:val="18"/>
  </w:num>
  <w:num w:numId="22" w16cid:durableId="761024155">
    <w:abstractNumId w:val="11"/>
  </w:num>
  <w:num w:numId="23" w16cid:durableId="744572707">
    <w:abstractNumId w:val="23"/>
  </w:num>
  <w:num w:numId="24" w16cid:durableId="1051730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0CD"/>
    <w:rsid w:val="0012252B"/>
    <w:rsid w:val="00354704"/>
    <w:rsid w:val="004F3091"/>
    <w:rsid w:val="006130CD"/>
    <w:rsid w:val="00645252"/>
    <w:rsid w:val="00683589"/>
    <w:rsid w:val="006C1612"/>
    <w:rsid w:val="006D3D74"/>
    <w:rsid w:val="006D5C22"/>
    <w:rsid w:val="007307E6"/>
    <w:rsid w:val="007356CF"/>
    <w:rsid w:val="00957461"/>
    <w:rsid w:val="00985446"/>
    <w:rsid w:val="00A9204E"/>
    <w:rsid w:val="00C11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C0E7D"/>
  <w15:chartTrackingRefBased/>
  <w15:docId w15:val="{3E8BD0DF-22A6-46F4-89D2-D821F137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0CD"/>
    <w:pPr>
      <w:spacing w:after="160" w:line="256" w:lineRule="auto"/>
    </w:pPr>
    <w:rPr>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ListParagraph">
    <w:name w:val="List Paragraph"/>
    <w:basedOn w:val="Normal"/>
    <w:uiPriority w:val="34"/>
    <w:qFormat/>
    <w:rsid w:val="006130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33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en-GB%7b4658D239-E724-4BF6-BBF1-1CAF94444F46%7d\%7bC402FAB2-65D7-488E-8B1A-30049D9BFFEC%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{C402FAB2-65D7-488E-8B1A-30049D9BFFEC}tf02786999_win32</Template>
  <TotalTime>72</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Charles Barnascone</cp:lastModifiedBy>
  <cp:revision>6</cp:revision>
  <dcterms:created xsi:type="dcterms:W3CDTF">2025-08-23T11:17:00Z</dcterms:created>
  <dcterms:modified xsi:type="dcterms:W3CDTF">2025-08-23T12:30:00Z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